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shape id="Picture 2" style="position:absolute;margin-left:238.05pt;margin-top:-62.75pt;width:255.65pt;height:95.25pt;z-index:-1;visibility:visible;mso-position-horizontal:absolute;mso-position-vertical:absolute;mso-position-horizontal-relative:margin;mso-position-vertical-relative:text;" alt="Macintosh HD:Users:carolynhaas:Desktop:ptcbr lhead draft.jpg" o:spid="_x0000_s2051" type="#_x0000_t75">
            <v:imagedata r:id="rId1" o:title="ptcbr lhead draft"/>
          </v:shape>
        </w:pic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STATEMENT FY 2022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Association Incorporation Act 1991 requires a statement of accounts that give a true and fair account of: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income and expenditure of the Association during the last financial year,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assets and liabilities at the end of the financial year.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Income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Membership fees, and the interest from a bank account comprise the income.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$1,010 was received from members in FY 2022, including membership fees and donations. This was $560 more than contributed by members in the previous financial year. 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Expenditure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Each expenditure item was supported by an invoice, or a receipt, or a bank statement in the case of a direct debit. The expenditure was in accordance with the Council’s objectives as listed in the Constitution dated Dec 2016.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Expenditure totalled $870.59 in FY 2022, which was $189.14 more than expenditure in the previous year. Public liability insurance ($537.95) continued to be the largest expense, followed by website management software ($332.64).</w:t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Assets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PTCBR does not hold any assets other than cash in its bank account.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Liabilities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There are no liabilities to be carried over.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Mark Loney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Enclosures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Income and Expenditure 2021-22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Balance Sheet for Year Ending 30 June 2022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TRANSPORT ASSOCIATION OF CANBERRA</w:t>
      </w:r>
    </w:p>
    <w:p w:rsidR="00000000" w:rsidDel="00000000" w:rsidP="00000000" w:rsidRDefault="00000000" w:rsidRPr="00000000" w14:paraId="0000001C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INCOME AND EXPENDITURE 2021-22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Funds Available </w:t>
        <w:tab/>
        <w:tab/>
        <w:tab/>
        <w:t xml:space="preserve">01 July 2021</w:t>
        <w:tab/>
        <w:tab/>
        <w:tab/>
        <w:t xml:space="preserve">$239.63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INCOME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Member Contributions</w:t>
        <w:tab/>
        <w:tab/>
        <w:t xml:space="preserve">$1,010.00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Bank interest</w:t>
        <w:tab/>
        <w:tab/>
        <w:tab/>
        <w:tab/>
        <w:t xml:space="preserve">$0.03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+ $1,010.03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EXPENDITURE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Public Liability Insurance</w:t>
        <w:tab/>
        <w:tab/>
        <w:t xml:space="preserve">$537.95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Website Management Software</w:t>
        <w:tab/>
        <w:t xml:space="preserve">$332.64</w:t>
        <w:tab/>
      </w:r>
    </w:p>
    <w:p w:rsidR="00000000" w:rsidDel="00000000" w:rsidP="00000000" w:rsidRDefault="00000000" w:rsidRPr="00000000" w14:paraId="00000026">
      <w:pPr>
        <w:ind w:left="5760" w:firstLine="720"/>
        <w:rPr/>
      </w:pPr>
      <w:r w:rsidDel="00000000" w:rsidR="00000000" w:rsidRPr="00000000">
        <w:rPr>
          <w:rtl w:val="0"/>
        </w:rPr>
        <w:t xml:space="preserve">- $870.59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Funds Carried Forward </w:t>
        <w:tab/>
        <w:tab/>
        <w:t xml:space="preserve">30 June 2022</w:t>
        <w:tab/>
        <w:tab/>
        <w:tab/>
        <w:t xml:space="preserve">$379.07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BALANCE SHEET FOR YEAR ENDING 30 June 2022</w:t>
      </w:r>
    </w:p>
    <w:p w:rsidR="00000000" w:rsidDel="00000000" w:rsidP="00000000" w:rsidRDefault="00000000" w:rsidRPr="00000000" w14:paraId="0000002A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ASSETS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Beyond Bank Account</w:t>
        <w:tab/>
        <w:tab/>
        <w:t xml:space="preserve">$379.07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  <w:t xml:space="preserve">Total Assets</w:t>
        <w:tab/>
        <w:tab/>
        <w:tab/>
        <w:tab/>
        <w:t xml:space="preserve">$379.07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LIABILITIES</w:t>
      </w:r>
      <w:r w:rsidDel="00000000" w:rsidR="00000000" w:rsidRPr="00000000">
        <w:rPr>
          <w:rtl w:val="0"/>
        </w:rPr>
        <w:tab/>
        <w:tab/>
        <w:tab/>
        <w:tab/>
        <w:t xml:space="preserve">NIL</w:t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NET ASSETS</w:t>
        <w:tab/>
      </w:r>
      <w:r w:rsidDel="00000000" w:rsidR="00000000" w:rsidRPr="00000000">
        <w:rPr>
          <w:rtl w:val="0"/>
        </w:rPr>
        <w:tab/>
        <w:tab/>
        <w:tab/>
        <w:t xml:space="preserve">$379.07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-115.0" w:type="dxa"/>
        <w:tblLayout w:type="fixed"/>
        <w:tblLook w:val="0400"/>
      </w:tblPr>
      <w:tblGrid>
        <w:gridCol w:w="4258"/>
        <w:gridCol w:w="4258"/>
        <w:tblGridChange w:id="0">
          <w:tblGrid>
            <w:gridCol w:w="4258"/>
            <w:gridCol w:w="42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M. Loney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Mark Loney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21 October 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2D9D"/>
    <w:pPr>
      <w:spacing w:after="200"/>
    </w:pPr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lorfulList-Accent11" w:customStyle="1">
    <w:name w:val="Colorful List - Accent 11"/>
    <w:basedOn w:val="Normal"/>
    <w:uiPriority w:val="34"/>
    <w:qFormat w:val="1"/>
    <w:rsid w:val="00EF7BC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1C50F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E252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E2527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1E252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1E2527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XcemiRmsMxo+uX5WlD+T2+ZlA==">AMUW2mVLMH4ymiH1ARSi6Pghfyhy+RmdfPsApWKHBDMJKp1NtZYfDP6CLEdpB3x9EoLpvpNBVzCrQp7nogb6ahWeVuVNBOql9Hs6Ii2M1VuiYjplmXawJ1o=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2022-10-21T01:31:00Z</dcterms:created>
  <dc:creator>admin</dc:creator>
</cp:coreProperties>
</file>